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D4" w:rsidRPr="00D62AD4" w:rsidRDefault="00D62AD4" w:rsidP="00D62AD4">
      <w:pPr>
        <w:spacing w:before="100" w:beforeAutospacing="1" w:after="100" w:afterAutospacing="1" w:line="240" w:lineRule="auto"/>
        <w:rPr>
          <w:rFonts w:ascii="DejaVu Serif" w:eastAsia="Times New Roman" w:hAnsi="DejaVu Serif" w:cs="Times New Roman"/>
          <w:color w:val="000000"/>
          <w:sz w:val="24"/>
          <w:szCs w:val="24"/>
        </w:rPr>
      </w:pPr>
      <w:bookmarkStart w:id="0" w:name="_GoBack"/>
      <w:bookmarkEnd w:id="0"/>
      <w:r w:rsidRPr="00D62AD4">
        <w:rPr>
          <w:rFonts w:ascii="Arial" w:eastAsia="Times New Roman" w:hAnsi="Arial" w:cs="Arial"/>
          <w:b/>
          <w:bCs/>
          <w:color w:val="000000"/>
          <w:sz w:val="27"/>
          <w:szCs w:val="27"/>
        </w:rPr>
        <w:t>Rhyming Pattern</w:t>
      </w:r>
    </w:p>
    <w:p w:rsidR="00D62AD4" w:rsidRPr="00D62AD4" w:rsidRDefault="00D62AD4" w:rsidP="00D62AD4">
      <w:pPr>
        <w:spacing w:before="100" w:beforeAutospacing="1" w:after="100" w:afterAutospacing="1" w:line="240" w:lineRule="auto"/>
        <w:rPr>
          <w:rFonts w:ascii="DejaVu Serif" w:eastAsia="Times New Roman" w:hAnsi="DejaVu Serif" w:cs="Times New Roman"/>
          <w:color w:val="000000"/>
          <w:sz w:val="24"/>
          <w:szCs w:val="24"/>
        </w:rPr>
      </w:pPr>
      <w:r w:rsidRPr="00D62AD4">
        <w:rPr>
          <w:rFonts w:ascii="Arial" w:eastAsia="Times New Roman" w:hAnsi="Arial" w:cs="Arial"/>
          <w:color w:val="000000"/>
          <w:sz w:val="20"/>
          <w:szCs w:val="20"/>
        </w:rPr>
        <w:t>.......The following presentation of Sonnet 18, one of Shakespeare's most famous, will help you visualize the rhyming pattern of the sonnets. I capitalized the last part of each line and typed a letter to the left of the line to indicate the pattern. The meaning of each line appears at right. </w:t>
      </w:r>
    </w:p>
    <w:p w:rsidR="00D62AD4" w:rsidRPr="00D62AD4" w:rsidRDefault="00D62AD4" w:rsidP="00D62AD4">
      <w:pPr>
        <w:spacing w:before="100" w:beforeAutospacing="1" w:after="100" w:afterAutospacing="1" w:line="240" w:lineRule="auto"/>
        <w:jc w:val="center"/>
        <w:rPr>
          <w:rFonts w:ascii="DejaVu Serif" w:eastAsia="Times New Roman" w:hAnsi="DejaVu Serif" w:cs="Times New Roman"/>
          <w:color w:val="000000"/>
          <w:sz w:val="24"/>
          <w:szCs w:val="24"/>
        </w:rPr>
      </w:pPr>
      <w:r w:rsidRPr="00D62AD4">
        <w:rPr>
          <w:rFonts w:ascii="Arial" w:eastAsia="Times New Roman" w:hAnsi="Arial" w:cs="Arial"/>
          <w:b/>
          <w:bCs/>
          <w:color w:val="000000"/>
          <w:sz w:val="20"/>
          <w:szCs w:val="20"/>
        </w:rPr>
        <w:t>Sonnet XVIII (18)</w:t>
      </w:r>
      <w:r w:rsidRPr="00D62AD4">
        <w:rPr>
          <w:rFonts w:ascii="DejaVu Serif" w:eastAsia="Times New Roman" w:hAnsi="DejaVu Serif" w:cs="Times New Roman"/>
          <w:color w:val="000000"/>
          <w:sz w:val="24"/>
          <w:szCs w:val="24"/>
        </w:rPr>
        <w:t> </w:t>
      </w:r>
      <w:r w:rsidRPr="00D62AD4">
        <w:rPr>
          <w:rFonts w:ascii="DejaVu Serif" w:eastAsia="Times New Roman" w:hAnsi="DejaVu Serif" w:cs="Times New Roman"/>
          <w:color w:val="000000"/>
          <w:sz w:val="24"/>
          <w:szCs w:val="24"/>
        </w:rPr>
        <w:br/>
      </w:r>
      <w:r w:rsidRPr="00D62AD4">
        <w:rPr>
          <w:rFonts w:ascii="Arial" w:eastAsia="Times New Roman" w:hAnsi="Arial" w:cs="Arial"/>
          <w:color w:val="000000"/>
          <w:sz w:val="20"/>
          <w:szCs w:val="20"/>
          <w:u w:val="single"/>
        </w:rPr>
        <w:t>Quatrain 1 (four-line stanza)</w:t>
      </w:r>
    </w:p>
    <w:tbl>
      <w:tblPr>
        <w:tblW w:w="86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3802"/>
      </w:tblGrid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A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  Shall I compare thee to a summer's </w:t>
            </w: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DAY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If I compared you to a summer day</w:t>
            </w:r>
          </w:p>
        </w:tc>
      </w:tr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B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  Thou art more lovely and more </w:t>
            </w:r>
            <w:proofErr w:type="spellStart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temper</w:t>
            </w: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ATE</w:t>
            </w:r>
            <w:proofErr w:type="spellEnd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I'd have to say you are more beautiful and serene:</w:t>
            </w:r>
          </w:p>
        </w:tc>
      </w:tr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A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   Rough winds do shake the darling buds </w:t>
            </w:r>
            <w:proofErr w:type="spellStart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MAY</w:t>
            </w:r>
            <w:proofErr w:type="spellEnd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By comparison, summer is rough on budding life,</w:t>
            </w:r>
          </w:p>
        </w:tc>
      </w:tr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B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   And summer's lease hath all too short </w:t>
            </w:r>
            <w:proofErr w:type="spellStart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DATE</w:t>
            </w:r>
            <w:proofErr w:type="spellEnd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And doesn't last long either: </w:t>
            </w:r>
          </w:p>
        </w:tc>
      </w:tr>
    </w:tbl>
    <w:p w:rsidR="00D62AD4" w:rsidRPr="00D62AD4" w:rsidRDefault="00D62AD4" w:rsidP="00D62AD4">
      <w:pPr>
        <w:spacing w:before="100" w:beforeAutospacing="1" w:after="100" w:afterAutospacing="1" w:line="240" w:lineRule="auto"/>
        <w:jc w:val="center"/>
        <w:rPr>
          <w:rFonts w:ascii="DejaVu Serif" w:eastAsia="Times New Roman" w:hAnsi="DejaVu Serif" w:cs="Times New Roman"/>
          <w:color w:val="000000"/>
          <w:sz w:val="24"/>
          <w:szCs w:val="24"/>
        </w:rPr>
      </w:pPr>
      <w:r w:rsidRPr="00D62AD4">
        <w:rPr>
          <w:rFonts w:ascii="Arial" w:eastAsia="Times New Roman" w:hAnsi="Arial" w:cs="Arial"/>
          <w:i/>
          <w:iCs/>
          <w:color w:val="000000"/>
          <w:sz w:val="20"/>
          <w:szCs w:val="20"/>
        </w:rPr>
        <w:t>Comment: In Shakespeare's time, May (Line 3) was considered a summer month.</w:t>
      </w:r>
    </w:p>
    <w:p w:rsidR="00D62AD4" w:rsidRPr="00D62AD4" w:rsidRDefault="00D62AD4" w:rsidP="00D62AD4">
      <w:pPr>
        <w:spacing w:before="100" w:beforeAutospacing="1" w:after="100" w:afterAutospacing="1" w:line="240" w:lineRule="auto"/>
        <w:jc w:val="center"/>
        <w:rPr>
          <w:rFonts w:ascii="DejaVu Serif" w:eastAsia="Times New Roman" w:hAnsi="DejaVu Serif" w:cs="Times New Roman"/>
          <w:color w:val="000000"/>
          <w:sz w:val="24"/>
          <w:szCs w:val="24"/>
        </w:rPr>
      </w:pPr>
      <w:r w:rsidRPr="00D62AD4">
        <w:rPr>
          <w:rFonts w:ascii="Arial" w:eastAsia="Times New Roman" w:hAnsi="Arial" w:cs="Arial"/>
          <w:color w:val="000000"/>
          <w:sz w:val="20"/>
          <w:szCs w:val="20"/>
          <w:u w:val="single"/>
        </w:rPr>
        <w:t>Quatrain 2 (four-line stanza)</w:t>
      </w:r>
    </w:p>
    <w:tbl>
      <w:tblPr>
        <w:tblW w:w="86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3802"/>
      </w:tblGrid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C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   Sometime too hot the eye of </w:t>
            </w:r>
            <w:proofErr w:type="spellStart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heaven</w:t>
            </w: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SHINES</w:t>
            </w:r>
            <w:proofErr w:type="spellEnd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At times the summer sun [heaven's eye] is too hot,</w:t>
            </w:r>
          </w:p>
        </w:tc>
      </w:tr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D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   And often is his gold complexion </w:t>
            </w: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DIMM'D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And at other times clouds dim its brilliance;</w:t>
            </w:r>
          </w:p>
        </w:tc>
      </w:tr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C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  And every fair from fair sometime </w:t>
            </w:r>
            <w:proofErr w:type="spellStart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CLINES</w:t>
            </w:r>
            <w:proofErr w:type="spellEnd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Everything fair in nature becomes less fair from time to time,</w:t>
            </w:r>
          </w:p>
        </w:tc>
      </w:tr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D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   By chance or nature's changing course </w:t>
            </w:r>
            <w:proofErr w:type="spellStart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un</w:t>
            </w: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TRIMM'D</w:t>
            </w:r>
            <w:proofErr w:type="spellEnd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No one can change [trim] nature or chance;</w:t>
            </w:r>
          </w:p>
        </w:tc>
      </w:tr>
    </w:tbl>
    <w:p w:rsidR="00D62AD4" w:rsidRPr="00D62AD4" w:rsidRDefault="00D62AD4" w:rsidP="00D62AD4">
      <w:pPr>
        <w:spacing w:before="100" w:beforeAutospacing="1" w:after="100" w:afterAutospacing="1" w:line="240" w:lineRule="auto"/>
        <w:jc w:val="center"/>
        <w:rPr>
          <w:rFonts w:ascii="DejaVu Serif" w:eastAsia="Times New Roman" w:hAnsi="DejaVu Serif" w:cs="Times New Roman"/>
          <w:color w:val="000000"/>
          <w:sz w:val="24"/>
          <w:szCs w:val="24"/>
        </w:rPr>
      </w:pPr>
      <w:proofErr w:type="spellStart"/>
      <w:r w:rsidRPr="00D62AD4">
        <w:rPr>
          <w:rFonts w:ascii="Arial" w:eastAsia="Times New Roman" w:hAnsi="Arial" w:cs="Arial"/>
          <w:i/>
          <w:iCs/>
          <w:color w:val="000000"/>
          <w:sz w:val="20"/>
          <w:szCs w:val="20"/>
        </w:rPr>
        <w:t>Comment</w:t>
      </w:r>
      <w:proofErr w:type="gramStart"/>
      <w:r w:rsidRPr="00D62AD4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  <w:r w:rsidRPr="00D62AD4">
        <w:rPr>
          <w:rFonts w:ascii="Arial" w:eastAsia="Times New Roman" w:hAnsi="Arial" w:cs="Arial"/>
          <w:i/>
          <w:iCs/>
          <w:color w:val="CCCCCC"/>
          <w:sz w:val="20"/>
          <w:szCs w:val="20"/>
        </w:rPr>
        <w:t>.</w:t>
      </w:r>
      <w:proofErr w:type="gramEnd"/>
      <w:r w:rsidRPr="00D62AD4">
        <w:rPr>
          <w:rFonts w:ascii="Arial" w:eastAsia="Times New Roman" w:hAnsi="Arial" w:cs="Arial"/>
          <w:i/>
          <w:iCs/>
          <w:color w:val="000000"/>
          <w:sz w:val="20"/>
          <w:szCs w:val="20"/>
        </w:rPr>
        <w:t>"Every</w:t>
      </w:r>
      <w:proofErr w:type="spellEnd"/>
      <w:r w:rsidRPr="00D62AD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fair" may also refer to every fair woman, who "declines" because of aging or bodily changes.</w:t>
      </w:r>
    </w:p>
    <w:p w:rsidR="00D62AD4" w:rsidRPr="00D62AD4" w:rsidRDefault="00D62AD4" w:rsidP="00D62AD4">
      <w:pPr>
        <w:spacing w:before="100" w:beforeAutospacing="1" w:after="100" w:afterAutospacing="1" w:line="240" w:lineRule="auto"/>
        <w:jc w:val="center"/>
        <w:rPr>
          <w:rFonts w:ascii="DejaVu Serif" w:eastAsia="Times New Roman" w:hAnsi="DejaVu Serif" w:cs="Times New Roman"/>
          <w:color w:val="000000"/>
          <w:sz w:val="24"/>
          <w:szCs w:val="24"/>
        </w:rPr>
      </w:pPr>
      <w:r w:rsidRPr="00D62AD4">
        <w:rPr>
          <w:rFonts w:ascii="Arial" w:eastAsia="Times New Roman" w:hAnsi="Arial" w:cs="Arial"/>
          <w:color w:val="000000"/>
          <w:sz w:val="20"/>
          <w:szCs w:val="20"/>
          <w:u w:val="single"/>
        </w:rPr>
        <w:t>Quatrain 3 (four-line stanza)</w:t>
      </w:r>
    </w:p>
    <w:tbl>
      <w:tblPr>
        <w:tblW w:w="86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3802"/>
      </w:tblGrid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E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    But thy eternal summer shall not </w:t>
            </w: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FADE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However, you yourself will not fade</w:t>
            </w:r>
          </w:p>
        </w:tc>
      </w:tr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F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    Nor lose possession of that fair thou </w:t>
            </w: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OWEST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Nor lose ownership of your fairness;</w:t>
            </w:r>
          </w:p>
        </w:tc>
      </w:tr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E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    Nor shall Death brag thou </w:t>
            </w:r>
            <w:proofErr w:type="spellStart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wander'st</w:t>
            </w:r>
            <w:proofErr w:type="spellEnd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his</w:t>
            </w: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SHADE</w:t>
            </w:r>
            <w:proofErr w:type="spellEnd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Not even death will claim you,</w:t>
            </w:r>
          </w:p>
        </w:tc>
      </w:tr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F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    When in eternal lines to time thou </w:t>
            </w:r>
            <w:r w:rsidRPr="00D62AD4">
              <w:rPr>
                <w:rFonts w:ascii="Arial" w:eastAsia="Times New Roman" w:hAnsi="Arial" w:cs="Arial"/>
                <w:b/>
                <w:bCs/>
                <w:color w:val="3333FF"/>
                <w:sz w:val="20"/>
                <w:szCs w:val="20"/>
              </w:rPr>
              <w:t>GROWEST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Because these lines I write will immortalize you: </w:t>
            </w:r>
          </w:p>
        </w:tc>
      </w:tr>
    </w:tbl>
    <w:p w:rsidR="00D62AD4" w:rsidRPr="00D62AD4" w:rsidRDefault="00D62AD4" w:rsidP="00D62AD4">
      <w:pPr>
        <w:spacing w:before="100" w:beforeAutospacing="1" w:after="100" w:afterAutospacing="1" w:line="240" w:lineRule="auto"/>
        <w:jc w:val="center"/>
        <w:rPr>
          <w:rFonts w:ascii="DejaVu Serif" w:eastAsia="Times New Roman" w:hAnsi="DejaVu Serif" w:cs="Times New Roman"/>
          <w:color w:val="000000"/>
          <w:sz w:val="24"/>
          <w:szCs w:val="24"/>
        </w:rPr>
      </w:pPr>
      <w:r w:rsidRPr="00D62AD4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Couplet (two rhyming lines)</w:t>
      </w:r>
    </w:p>
    <w:tbl>
      <w:tblPr>
        <w:tblW w:w="86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3802"/>
      </w:tblGrid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G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    So long as men can breathe or eyes </w:t>
            </w:r>
            <w:proofErr w:type="spellStart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can</w:t>
            </w: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SEE</w:t>
            </w:r>
            <w:proofErr w:type="spellEnd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>Your beauty will last as long as men breathe and see,</w:t>
            </w:r>
          </w:p>
        </w:tc>
      </w:tr>
      <w:tr w:rsidR="00D62AD4" w:rsidRPr="00D62AD4" w:rsidTr="00D62AD4">
        <w:trPr>
          <w:tblCellSpacing w:w="15" w:type="dxa"/>
          <w:jc w:val="center"/>
        </w:trPr>
        <w:tc>
          <w:tcPr>
            <w:tcW w:w="4838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G</w:t>
            </w:r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    So long lives this and this gives life </w:t>
            </w:r>
            <w:proofErr w:type="spellStart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Pr="00D62AD4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</w:rPr>
              <w:t>THEE</w:t>
            </w:r>
            <w:proofErr w:type="spellEnd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D62AD4" w:rsidRPr="00D62AD4" w:rsidRDefault="00D62AD4" w:rsidP="00D62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As Long as this sonnet lives and gives </w:t>
            </w:r>
            <w:proofErr w:type="spellStart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>you</w:t>
            </w:r>
            <w:proofErr w:type="spellEnd"/>
            <w:r w:rsidRPr="00D62AD4">
              <w:rPr>
                <w:rFonts w:ascii="Arial" w:eastAsia="Times New Roman" w:hAnsi="Arial" w:cs="Arial"/>
                <w:sz w:val="20"/>
                <w:szCs w:val="20"/>
              </w:rPr>
              <w:t xml:space="preserve"> life. </w:t>
            </w:r>
          </w:p>
        </w:tc>
      </w:tr>
    </w:tbl>
    <w:p w:rsidR="00D62AD4" w:rsidRPr="00D62AD4" w:rsidRDefault="00D62AD4" w:rsidP="00D62AD4">
      <w:pPr>
        <w:spacing w:before="100" w:beforeAutospacing="1" w:after="100" w:afterAutospacing="1" w:line="240" w:lineRule="auto"/>
        <w:rPr>
          <w:rFonts w:ascii="DejaVu Serif" w:eastAsia="Times New Roman" w:hAnsi="DejaVu Serif" w:cs="Times New Roman"/>
          <w:color w:val="000000"/>
          <w:sz w:val="24"/>
          <w:szCs w:val="24"/>
        </w:rPr>
      </w:pPr>
      <w:r w:rsidRPr="00D62AD4">
        <w:rPr>
          <w:rFonts w:ascii="Arial" w:eastAsia="Times New Roman" w:hAnsi="Arial" w:cs="Arial"/>
          <w:color w:val="000000"/>
          <w:sz w:val="20"/>
          <w:szCs w:val="20"/>
        </w:rPr>
        <w:t>As you can see, the rhyme scheme of the sonnet is as follows: First stanza, ABAB; second stanza, CDCD; third stanza, EFEF; and the couplet, GG. </w:t>
      </w:r>
      <w:r w:rsidRPr="00D62AD4">
        <w:rPr>
          <w:rFonts w:ascii="DejaVu Serif" w:eastAsia="Times New Roman" w:hAnsi="DejaVu Serif" w:cs="Times New Roman"/>
          <w:color w:val="000000"/>
          <w:sz w:val="24"/>
          <w:szCs w:val="24"/>
        </w:rPr>
        <w:t> </w:t>
      </w:r>
      <w:r w:rsidRPr="00D62AD4">
        <w:rPr>
          <w:rFonts w:ascii="DejaVu Serif" w:eastAsia="Times New Roman" w:hAnsi="DejaVu Serif" w:cs="Times New Roman"/>
          <w:color w:val="000000"/>
          <w:sz w:val="24"/>
          <w:szCs w:val="24"/>
        </w:rPr>
        <w:br/>
      </w:r>
      <w:r w:rsidRPr="00D62AD4">
        <w:rPr>
          <w:rFonts w:ascii="Arial" w:eastAsia="Times New Roman" w:hAnsi="Arial" w:cs="Arial"/>
          <w:color w:val="000000"/>
          <w:sz w:val="20"/>
          <w:szCs w:val="20"/>
        </w:rPr>
        <w:t xml:space="preserve">.......Notice that Shakespeare introduces the main point of the sonnet in the first two lines of Stanza 1: that the young </w:t>
      </w:r>
      <w:r>
        <w:rPr>
          <w:rFonts w:ascii="Arial" w:eastAsia="Times New Roman" w:hAnsi="Arial" w:cs="Arial"/>
          <w:color w:val="000000"/>
          <w:sz w:val="20"/>
          <w:szCs w:val="20"/>
        </w:rPr>
        <w:t>woman’s</w:t>
      </w:r>
      <w:r w:rsidRPr="00D62AD4">
        <w:rPr>
          <w:rFonts w:ascii="Arial" w:eastAsia="Times New Roman" w:hAnsi="Arial" w:cs="Arial"/>
          <w:color w:val="000000"/>
          <w:sz w:val="20"/>
          <w:szCs w:val="20"/>
        </w:rPr>
        <w:t xml:space="preserve"> radiance is greater than the sun's. He then devotes the second two lines of Stanza 1 and all of Stanza 2 to the inferior qualities of the sun. In Stanza 3, he says the young </w:t>
      </w:r>
      <w:r>
        <w:rPr>
          <w:rFonts w:ascii="Arial" w:eastAsia="Times New Roman" w:hAnsi="Arial" w:cs="Arial"/>
          <w:color w:val="000000"/>
          <w:sz w:val="20"/>
          <w:szCs w:val="20"/>
        </w:rPr>
        <w:t>woman’s</w:t>
      </w:r>
      <w:r w:rsidRPr="00D62AD4">
        <w:rPr>
          <w:rFonts w:ascii="Arial" w:eastAsia="Times New Roman" w:hAnsi="Arial" w:cs="Arial"/>
          <w:color w:val="000000"/>
          <w:sz w:val="20"/>
          <w:szCs w:val="20"/>
        </w:rPr>
        <w:t xml:space="preserve"> brilliance will never fade because Sonnet XVIII will keep it alive. He then sums up his thoughts in the ending couplet.</w:t>
      </w:r>
    </w:p>
    <w:sectPr w:rsidR="00D62AD4" w:rsidRPr="00D62AD4" w:rsidSect="00D62AD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7"/>
    <w:rsid w:val="00304CC7"/>
    <w:rsid w:val="005F7830"/>
    <w:rsid w:val="00C11D35"/>
    <w:rsid w:val="00D62AD4"/>
    <w:rsid w:val="00D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D203AC08</Template>
  <TotalTime>26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D. Leavy</dc:creator>
  <cp:lastModifiedBy>Lisa D. Leavy</cp:lastModifiedBy>
  <cp:revision>3</cp:revision>
  <cp:lastPrinted>2016-03-06T19:35:00Z</cp:lastPrinted>
  <dcterms:created xsi:type="dcterms:W3CDTF">2016-03-06T19:25:00Z</dcterms:created>
  <dcterms:modified xsi:type="dcterms:W3CDTF">2016-03-08T20:25:00Z</dcterms:modified>
</cp:coreProperties>
</file>